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2"/>
        <w:keepNext w:val="0"/>
        <w:keepLines w:val="0"/>
        <w:spacing w:after="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sz w:val="34"/>
          <w:szCs w:val="34"/>
        </w:rPr>
      </w:pPr>
      <w:bookmarkStart w:colFirst="0" w:colLast="0" w:name="_wcz9v09rwhce" w:id="0"/>
      <w:bookmarkEnd w:id="0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34"/>
          <w:szCs w:val="34"/>
          <w:rtl w:val="0"/>
        </w:rPr>
        <w:t xml:space="preserve">Research Proposals &amp; White Papers</w:t>
      </w:r>
    </w:p>
    <w:p w:rsidR="00000000" w:rsidDel="00000000" w:rsidP="00000000" w:rsidRDefault="00000000" w:rsidRPr="00000000" w14:paraId="00000002">
      <w:pPr>
        <w:pStyle w:val="Heading3"/>
        <w:keepNext w:val="0"/>
        <w:keepLines w:val="0"/>
        <w:spacing w:before="2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</w:rPr>
      </w:pPr>
      <w:bookmarkStart w:colFirst="0" w:colLast="0" w:name="_yoy13l52hs3e" w:id="1"/>
      <w:bookmarkEnd w:id="1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  <w:rtl w:val="0"/>
        </w:rPr>
        <w:t xml:space="preserve">Advancing Human-Centered Intelligence</w:t>
      </w:r>
    </w:p>
    <w:p w:rsidR="00000000" w:rsidDel="00000000" w:rsidP="00000000" w:rsidRDefault="00000000" w:rsidRPr="00000000" w14:paraId="00000003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This research explores how human reasoning, emotional intelligence, and lived experience can be systematically studied and translated into meaningful insight for decision-making, policy, and technology.</w:t>
      </w:r>
    </w:p>
    <w:p w:rsidR="00000000" w:rsidDel="00000000" w:rsidP="00000000" w:rsidRDefault="00000000" w:rsidRPr="00000000" w14:paraId="00000004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Rather than treating intelligence as purely computational, the work investigates how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context, emotion, judgment, and shared human experience</w:t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 function as essential layers of understanding—particularly in complex social, organizational, and digital environments.</w:t>
      </w:r>
    </w:p>
    <w:p w:rsidR="00000000" w:rsidDel="00000000" w:rsidP="00000000" w:rsidRDefault="00000000" w:rsidRPr="00000000" w14:paraId="00000005">
      <w:pPr>
        <w:pStyle w:val="Title"/>
        <w:keepNext w:val="0"/>
        <w:keepLines w:val="0"/>
        <w:spacing w:after="20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3"/>
        <w:keepNext w:val="0"/>
        <w:keepLines w:val="0"/>
        <w:spacing w:before="2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</w:rPr>
      </w:pPr>
      <w:bookmarkStart w:colFirst="0" w:colLast="0" w:name="_qemrs4fens34" w:id="3"/>
      <w:bookmarkEnd w:id="3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  <w:rtl w:val="0"/>
        </w:rPr>
        <w:t xml:space="preserve">Core Research Areas</w:t>
      </w:r>
    </w:p>
    <w:p w:rsidR="00000000" w:rsidDel="00000000" w:rsidP="00000000" w:rsidRDefault="00000000" w:rsidRPr="00000000" w14:paraId="00000007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The research proposals and white papers focus on:</w:t>
      </w:r>
    </w:p>
    <w:p w:rsidR="00000000" w:rsidDel="00000000" w:rsidP="00000000" w:rsidRDefault="00000000" w:rsidRPr="00000000" w14:paraId="00000008">
      <w:pPr>
        <w:pStyle w:val="Title"/>
        <w:keepNext w:val="0"/>
        <w:keepLines w:val="0"/>
        <w:numPr>
          <w:ilvl w:val="0"/>
          <w:numId w:val="3"/>
        </w:numPr>
        <w:spacing w:after="0" w:afterAutospacing="0" w:before="240" w:line="240" w:lineRule="auto"/>
        <w:ind w:left="720" w:hanging="360"/>
        <w:rPr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Emotional Reasoning &amp; Human Judgment</w:t>
        <w:br w:type="textWrapping"/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 How emotions, intuition, and behavioral signals inform trust, risk assessment, and decision-making.</w:t>
        <w:br w:type="textWrapping"/>
      </w:r>
    </w:p>
    <w:p w:rsidR="00000000" w:rsidDel="00000000" w:rsidP="00000000" w:rsidRDefault="00000000" w:rsidRPr="00000000" w14:paraId="00000009">
      <w:pPr>
        <w:pStyle w:val="Title"/>
        <w:keepNext w:val="0"/>
        <w:keepLines w:val="0"/>
        <w:numPr>
          <w:ilvl w:val="0"/>
          <w:numId w:val="3"/>
        </w:numPr>
        <w:spacing w:after="0" w:afterAutospacing="0" w:before="0" w:beforeAutospacing="0" w:line="240" w:lineRule="auto"/>
        <w:ind w:left="720" w:hanging="360"/>
        <w:rPr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Pattern Recognition from Lived Experience</w:t>
        <w:br w:type="textWrapping"/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 Identifying recurring human and organizational patterns that are often overlooked by traditional data-driven approaches.</w:t>
        <w:br w:type="textWrapping"/>
      </w:r>
    </w:p>
    <w:p w:rsidR="00000000" w:rsidDel="00000000" w:rsidP="00000000" w:rsidRDefault="00000000" w:rsidRPr="00000000" w14:paraId="0000000A">
      <w:pPr>
        <w:pStyle w:val="Title"/>
        <w:keepNext w:val="0"/>
        <w:keepLines w:val="0"/>
        <w:numPr>
          <w:ilvl w:val="0"/>
          <w:numId w:val="3"/>
        </w:numPr>
        <w:spacing w:after="0" w:afterAutospacing="0" w:before="0" w:beforeAutospacing="0" w:line="240" w:lineRule="auto"/>
        <w:ind w:left="720" w:hanging="360"/>
        <w:rPr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Truth, Sense-Making &amp; Information Integrity</w:t>
        <w:br w:type="textWrapping"/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 Examining how people distinguish truth from misinformation, and how reasoning frameworks can support clarity, logic, and contextual verification in information systems.</w:t>
        <w:br w:type="textWrapping"/>
      </w:r>
    </w:p>
    <w:p w:rsidR="00000000" w:rsidDel="00000000" w:rsidP="00000000" w:rsidRDefault="00000000" w:rsidRPr="00000000" w14:paraId="0000000B">
      <w:pPr>
        <w:pStyle w:val="Title"/>
        <w:keepNext w:val="0"/>
        <w:keepLines w:val="0"/>
        <w:numPr>
          <w:ilvl w:val="0"/>
          <w:numId w:val="3"/>
        </w:numPr>
        <w:spacing w:after="0" w:afterAutospacing="0" w:before="0" w:beforeAutospacing="0" w:line="240" w:lineRule="auto"/>
        <w:ind w:left="720" w:hanging="360"/>
        <w:rPr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Human–Technology Interaction Models</w:t>
        <w:br w:type="textWrapping"/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 Exploring collaborative models where technology supports human reasoning while preserving agency, ethics, and accountability.</w:t>
        <w:br w:type="textWrapping"/>
      </w:r>
    </w:p>
    <w:p w:rsidR="00000000" w:rsidDel="00000000" w:rsidP="00000000" w:rsidRDefault="00000000" w:rsidRPr="00000000" w14:paraId="0000000C">
      <w:pPr>
        <w:pStyle w:val="Title"/>
        <w:keepNext w:val="0"/>
        <w:keepLines w:val="0"/>
        <w:numPr>
          <w:ilvl w:val="0"/>
          <w:numId w:val="3"/>
        </w:numPr>
        <w:spacing w:after="240" w:before="0" w:beforeAutospacing="0" w:line="240" w:lineRule="auto"/>
        <w:ind w:left="720" w:hanging="360"/>
        <w:rPr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Inclusive System Design &amp; Systems Shift</w:t>
        <w:br w:type="textWrapping"/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 Investigating how systems have historically been designed without fully accounting for the lived realities of marginalized groups, leading to structural blind spots in policy, technology, and governance.</w:t>
        <w:br w:type="textWrapping"/>
        <w:br w:type="textWrapping"/>
        <w:t xml:space="preserve"> This research addresses exclusion at the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design level</w:t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—examining the assumptions, inputs, and reasoning models that shape systems from inception. A central focus is the role of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women as system integrators</w:t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. Across social, economic, and organizational contexts, women frequently bridge emotional insight, contextual awareness, and practical execution.</w:t>
        <w:br w:type="textWrapping"/>
        <w:br w:type="textWrapping"/>
        <w:t xml:space="preserve"> By formalizing these capabilities into structured frameworks, the research demonstrates how women can drive a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shift from rigid, extractive systems toward adaptive, human-centered ones</w:t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—systems better equipped to serve diverse populations without erasing difference. Inclusion, in this model, is structural rather than symbolic.</w:t>
        <w:br w:type="textWrapping"/>
      </w:r>
    </w:p>
    <w:p w:rsidR="00000000" w:rsidDel="00000000" w:rsidP="00000000" w:rsidRDefault="00000000" w:rsidRPr="00000000" w14:paraId="0000000D">
      <w:pPr>
        <w:pStyle w:val="Title"/>
        <w:keepNext w:val="0"/>
        <w:keepLines w:val="0"/>
        <w:spacing w:after="20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Style w:val="Heading3"/>
        <w:keepNext w:val="0"/>
        <w:keepLines w:val="0"/>
        <w:spacing w:before="2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</w:rPr>
      </w:pPr>
      <w:bookmarkStart w:colFirst="0" w:colLast="0" w:name="_8vyq0aiuib3l" w:id="4"/>
      <w:bookmarkEnd w:id="4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  <w:rtl w:val="0"/>
        </w:rPr>
        <w:t xml:space="preserve">What the White Papers Offer</w:t>
      </w:r>
    </w:p>
    <w:p w:rsidR="00000000" w:rsidDel="00000000" w:rsidP="00000000" w:rsidRDefault="00000000" w:rsidRPr="00000000" w14:paraId="0000000F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Each publication presents:</w:t>
      </w:r>
    </w:p>
    <w:p w:rsidR="00000000" w:rsidDel="00000000" w:rsidP="00000000" w:rsidRDefault="00000000" w:rsidRPr="00000000" w14:paraId="00000010">
      <w:pPr>
        <w:pStyle w:val="Title"/>
        <w:keepNext w:val="0"/>
        <w:keepLines w:val="0"/>
        <w:numPr>
          <w:ilvl w:val="0"/>
          <w:numId w:val="1"/>
        </w:numPr>
        <w:spacing w:after="0" w:afterAutospacing="0" w:before="24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Research questions and conceptual frameworks</w:t>
        <w:br w:type="textWrapping"/>
      </w:r>
    </w:p>
    <w:p w:rsidR="00000000" w:rsidDel="00000000" w:rsidP="00000000" w:rsidRDefault="00000000" w:rsidRPr="00000000" w14:paraId="00000011">
      <w:pPr>
        <w:pStyle w:val="Title"/>
        <w:keepNext w:val="0"/>
        <w:keepLines w:val="0"/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Analytical models and early insights</w:t>
        <w:br w:type="textWrapping"/>
      </w:r>
    </w:p>
    <w:p w:rsidR="00000000" w:rsidDel="00000000" w:rsidP="00000000" w:rsidRDefault="00000000" w:rsidRPr="00000000" w14:paraId="00000012">
      <w:pPr>
        <w:pStyle w:val="Title"/>
        <w:keepNext w:val="0"/>
        <w:keepLines w:val="0"/>
        <w:numPr>
          <w:ilvl w:val="0"/>
          <w:numId w:val="1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Ethical considerations and limitations</w:t>
        <w:br w:type="textWrapping"/>
      </w:r>
    </w:p>
    <w:p w:rsidR="00000000" w:rsidDel="00000000" w:rsidP="00000000" w:rsidRDefault="00000000" w:rsidRPr="00000000" w14:paraId="00000013">
      <w:pPr>
        <w:pStyle w:val="Title"/>
        <w:keepNext w:val="0"/>
        <w:keepLines w:val="0"/>
        <w:numPr>
          <w:ilvl w:val="0"/>
          <w:numId w:val="1"/>
        </w:numPr>
        <w:spacing w:after="24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Cross-sector implications and potential applications</w:t>
        <w:br w:type="textWrapping"/>
      </w:r>
    </w:p>
    <w:p w:rsidR="00000000" w:rsidDel="00000000" w:rsidP="00000000" w:rsidRDefault="00000000" w:rsidRPr="00000000" w14:paraId="00000014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The work is intentionally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exploratory and evolving</w:t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, designed to invite peer review, collaboration, and continued refinement.</w:t>
      </w:r>
    </w:p>
    <w:p w:rsidR="00000000" w:rsidDel="00000000" w:rsidP="00000000" w:rsidRDefault="00000000" w:rsidRPr="00000000" w14:paraId="00000015">
      <w:pPr>
        <w:pStyle w:val="Title"/>
        <w:keepNext w:val="0"/>
        <w:keepLines w:val="0"/>
        <w:spacing w:after="20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Style w:val="Heading3"/>
        <w:keepNext w:val="0"/>
        <w:keepLines w:val="0"/>
        <w:spacing w:before="2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</w:rPr>
      </w:pPr>
      <w:bookmarkStart w:colFirst="0" w:colLast="0" w:name="_475zhcq98w6v" w:id="5"/>
      <w:bookmarkEnd w:id="5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  <w:rtl w:val="0"/>
        </w:rPr>
        <w:t xml:space="preserve">Research Methodology</w:t>
      </w:r>
    </w:p>
    <w:p w:rsidR="00000000" w:rsidDel="00000000" w:rsidP="00000000" w:rsidRDefault="00000000" w:rsidRPr="00000000" w14:paraId="00000017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The research approach combines:</w:t>
      </w:r>
    </w:p>
    <w:p w:rsidR="00000000" w:rsidDel="00000000" w:rsidP="00000000" w:rsidRDefault="00000000" w:rsidRPr="00000000" w14:paraId="00000018">
      <w:pPr>
        <w:pStyle w:val="Title"/>
        <w:keepNext w:val="0"/>
        <w:keepLines w:val="0"/>
        <w:numPr>
          <w:ilvl w:val="0"/>
          <w:numId w:val="2"/>
        </w:numPr>
        <w:spacing w:after="0" w:afterAutospacing="0" w:before="24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Qualitative inquiry and narrative analysis</w:t>
        <w:br w:type="textWrapping"/>
      </w:r>
    </w:p>
    <w:p w:rsidR="00000000" w:rsidDel="00000000" w:rsidP="00000000" w:rsidRDefault="00000000" w:rsidRPr="00000000" w14:paraId="00000019">
      <w:pPr>
        <w:pStyle w:val="Title"/>
        <w:keepNext w:val="0"/>
        <w:keepLines w:val="0"/>
        <w:numPr>
          <w:ilvl w:val="0"/>
          <w:numId w:val="2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Behavioral and relational pattern mapping</w:t>
        <w:br w:type="textWrapping"/>
      </w:r>
    </w:p>
    <w:p w:rsidR="00000000" w:rsidDel="00000000" w:rsidP="00000000" w:rsidRDefault="00000000" w:rsidRPr="00000000" w14:paraId="0000001A">
      <w:pPr>
        <w:pStyle w:val="Title"/>
        <w:keepNext w:val="0"/>
        <w:keepLines w:val="0"/>
        <w:numPr>
          <w:ilvl w:val="0"/>
          <w:numId w:val="2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Emotional intelligence frameworks</w:t>
        <w:br w:type="textWrapping"/>
      </w:r>
    </w:p>
    <w:p w:rsidR="00000000" w:rsidDel="00000000" w:rsidP="00000000" w:rsidRDefault="00000000" w:rsidRPr="00000000" w14:paraId="0000001B">
      <w:pPr>
        <w:pStyle w:val="Title"/>
        <w:keepNext w:val="0"/>
        <w:keepLines w:val="0"/>
        <w:numPr>
          <w:ilvl w:val="0"/>
          <w:numId w:val="2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Cross-context observation</w:t>
        <w:br w:type="textWrapping"/>
      </w:r>
    </w:p>
    <w:p w:rsidR="00000000" w:rsidDel="00000000" w:rsidP="00000000" w:rsidRDefault="00000000" w:rsidRPr="00000000" w14:paraId="0000001C">
      <w:pPr>
        <w:pStyle w:val="Title"/>
        <w:keepNext w:val="0"/>
        <w:keepLines w:val="0"/>
        <w:numPr>
          <w:ilvl w:val="0"/>
          <w:numId w:val="2"/>
        </w:numPr>
        <w:spacing w:after="24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Iterative learning from real-world human interactions</w:t>
        <w:br w:type="textWrapping"/>
      </w:r>
    </w:p>
    <w:p w:rsidR="00000000" w:rsidDel="00000000" w:rsidP="00000000" w:rsidRDefault="00000000" w:rsidRPr="00000000" w14:paraId="0000001D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This allows for adaptive insight in environments where complexity cannot be reduced to numerical data alone.</w:t>
      </w:r>
    </w:p>
    <w:p w:rsidR="00000000" w:rsidDel="00000000" w:rsidP="00000000" w:rsidRDefault="00000000" w:rsidRPr="00000000" w14:paraId="0000001E">
      <w:pPr>
        <w:pStyle w:val="Title"/>
        <w:keepNext w:val="0"/>
        <w:keepLines w:val="0"/>
        <w:spacing w:after="20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Heading3"/>
        <w:keepNext w:val="0"/>
        <w:keepLines w:val="0"/>
        <w:spacing w:before="2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</w:rPr>
      </w:pPr>
      <w:bookmarkStart w:colFirst="0" w:colLast="0" w:name="_fy679cgpb2j4" w:id="6"/>
      <w:bookmarkEnd w:id="6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  <w:rtl w:val="0"/>
        </w:rPr>
        <w:t xml:space="preserve">Collaboration &amp; Research Partnerships</w:t>
      </w:r>
    </w:p>
    <w:p w:rsidR="00000000" w:rsidDel="00000000" w:rsidP="00000000" w:rsidRDefault="00000000" w:rsidRPr="00000000" w14:paraId="00000020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Collaboration is welcomed with:</w:t>
      </w:r>
    </w:p>
    <w:p w:rsidR="00000000" w:rsidDel="00000000" w:rsidP="00000000" w:rsidRDefault="00000000" w:rsidRPr="00000000" w14:paraId="00000021">
      <w:pPr>
        <w:pStyle w:val="Title"/>
        <w:keepNext w:val="0"/>
        <w:keepLines w:val="0"/>
        <w:numPr>
          <w:ilvl w:val="0"/>
          <w:numId w:val="4"/>
        </w:numPr>
        <w:spacing w:after="0" w:afterAutospacing="0" w:before="24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Academic institutions and independent researchers</w:t>
        <w:br w:type="textWrapping"/>
      </w:r>
    </w:p>
    <w:p w:rsidR="00000000" w:rsidDel="00000000" w:rsidP="00000000" w:rsidRDefault="00000000" w:rsidRPr="00000000" w14:paraId="00000022">
      <w:pPr>
        <w:pStyle w:val="Title"/>
        <w:keepNext w:val="0"/>
        <w:keepLines w:val="0"/>
        <w:numPr>
          <w:ilvl w:val="0"/>
          <w:numId w:val="4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Research funders and foundations</w:t>
        <w:br w:type="textWrapping"/>
      </w:r>
    </w:p>
    <w:p w:rsidR="00000000" w:rsidDel="00000000" w:rsidP="00000000" w:rsidRDefault="00000000" w:rsidRPr="00000000" w14:paraId="00000023">
      <w:pPr>
        <w:pStyle w:val="Title"/>
        <w:keepNext w:val="0"/>
        <w:keepLines w:val="0"/>
        <w:numPr>
          <w:ilvl w:val="0"/>
          <w:numId w:val="4"/>
        </w:numPr>
        <w:spacing w:after="0" w:afterAutospacing="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Policy, governance, and social impact organizations</w:t>
        <w:br w:type="textWrapping"/>
      </w:r>
    </w:p>
    <w:p w:rsidR="00000000" w:rsidDel="00000000" w:rsidP="00000000" w:rsidRDefault="00000000" w:rsidRPr="00000000" w14:paraId="00000024">
      <w:pPr>
        <w:pStyle w:val="Title"/>
        <w:keepNext w:val="0"/>
        <w:keepLines w:val="0"/>
        <w:numPr>
          <w:ilvl w:val="0"/>
          <w:numId w:val="4"/>
        </w:numPr>
        <w:spacing w:after="240" w:before="0" w:beforeAutospacing="0" w:line="240" w:lineRule="auto"/>
        <w:ind w:left="720" w:hanging="360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System and technology designers interested in ethical, human-centered approaches</w:t>
        <w:br w:type="textWrapping"/>
      </w:r>
    </w:p>
    <w:p w:rsidR="00000000" w:rsidDel="00000000" w:rsidP="00000000" w:rsidRDefault="00000000" w:rsidRPr="00000000" w14:paraId="00000025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Partners gain access to emerging insights, discussion papers, and opportunities to co-develop research directions.</w:t>
      </w:r>
    </w:p>
    <w:p w:rsidR="00000000" w:rsidDel="00000000" w:rsidP="00000000" w:rsidRDefault="00000000" w:rsidRPr="00000000" w14:paraId="00000026">
      <w:pPr>
        <w:pStyle w:val="Title"/>
        <w:keepNext w:val="0"/>
        <w:keepLines w:val="0"/>
        <w:spacing w:after="20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Style w:val="Heading3"/>
        <w:keepNext w:val="0"/>
        <w:keepLines w:val="0"/>
        <w:spacing w:before="280" w:line="240" w:lineRule="auto"/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</w:rPr>
      </w:pPr>
      <w:bookmarkStart w:colFirst="0" w:colLast="0" w:name="_h8irfepl2g2f" w:id="7"/>
      <w:bookmarkEnd w:id="7"/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color w:val="000000"/>
          <w:sz w:val="26"/>
          <w:szCs w:val="26"/>
          <w:rtl w:val="0"/>
        </w:rPr>
        <w:t xml:space="preserve">Why This Research Matters</w:t>
      </w:r>
    </w:p>
    <w:p w:rsidR="00000000" w:rsidDel="00000000" w:rsidP="00000000" w:rsidRDefault="00000000" w:rsidRPr="00000000" w14:paraId="00000028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As automated systems increasingly shape decisions, narratives, and access to information, the risk is not only technical failure—but the </w:t>
      </w:r>
      <w:r w:rsidDel="00000000" w:rsidR="00000000" w:rsidRPr="00000000">
        <w:rPr>
          <w:rFonts w:ascii="Merriweather" w:cs="Merriweather" w:eastAsia="Merriweather" w:hAnsi="Merriweather"/>
          <w:b w:val="1"/>
          <w:bCs w:val="1"/>
          <w:i w:val="1"/>
          <w:iCs w:val="1"/>
          <w:sz w:val="22"/>
          <w:szCs w:val="22"/>
          <w:rtl w:val="0"/>
        </w:rPr>
        <w:t xml:space="preserve">loss of meaning, context, and human judgment</w:t>
      </w:r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.</w:t>
      </w:r>
    </w:p>
    <w:p w:rsidR="00000000" w:rsidDel="00000000" w:rsidP="00000000" w:rsidRDefault="00000000" w:rsidRPr="00000000" w14:paraId="00000029">
      <w:pPr>
        <w:pStyle w:val="Title"/>
        <w:keepNext w:val="0"/>
        <w:keepLines w:val="0"/>
        <w:spacing w:after="240" w:before="240" w:line="240" w:lineRule="auto"/>
        <w:rPr>
          <w:rFonts w:ascii="Merriweather" w:cs="Merriweather" w:eastAsia="Merriweather" w:hAnsi="Merriweather"/>
          <w:i w:val="1"/>
          <w:iCs w:val="1"/>
          <w:sz w:val="22"/>
          <w:szCs w:val="22"/>
        </w:rPr>
      </w:pPr>
      <w:bookmarkStart w:colFirst="0" w:colLast="0" w:name="_ja4aog2gk62e" w:id="8"/>
      <w:bookmarkEnd w:id="8"/>
      <w:r w:rsidDel="00000000" w:rsidR="00000000" w:rsidRPr="00000000">
        <w:rPr>
          <w:rFonts w:ascii="Merriweather" w:cs="Merriweather" w:eastAsia="Merriweather" w:hAnsi="Merriweather"/>
          <w:i w:val="1"/>
          <w:iCs w:val="1"/>
          <w:sz w:val="22"/>
          <w:szCs w:val="22"/>
          <w:rtl w:val="0"/>
        </w:rPr>
        <w:t xml:space="preserve">This research exists to ensure that future systems remain grounded in human reality, ethical reasoning, and inclusive design—supporting societies that are resilient, adaptive, and equitable by design.</w:t>
      </w:r>
    </w:p>
    <w:p w:rsidR="00000000" w:rsidDel="00000000" w:rsidP="00000000" w:rsidRDefault="00000000" w:rsidRPr="00000000" w14:paraId="0000002A">
      <w:pPr>
        <w:pStyle w:val="Title"/>
        <w:keepNext w:val="0"/>
        <w:keepLines w:val="0"/>
        <w:spacing w:after="200" w:line="240" w:lineRule="auto"/>
        <w:jc w:val="left"/>
        <w:rPr>
          <w:sz w:val="22"/>
          <w:szCs w:val="22"/>
        </w:rPr>
      </w:pPr>
      <w:bookmarkStart w:colFirst="0" w:colLast="0" w:name="_liy64cmqq9ls" w:id="2"/>
      <w:bookmarkEnd w:id="2"/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erriweather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erriweather-regular.ttf"/><Relationship Id="rId2" Type="http://schemas.openxmlformats.org/officeDocument/2006/relationships/font" Target="fonts/Merriweather-bold.ttf"/><Relationship Id="rId3" Type="http://schemas.openxmlformats.org/officeDocument/2006/relationships/font" Target="fonts/Merriweather-italic.ttf"/><Relationship Id="rId4" Type="http://schemas.openxmlformats.org/officeDocument/2006/relationships/font" Target="fonts/Merriweather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